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6481BA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057020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425C95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2E449A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D47D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36648AD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057020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31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057020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057020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26E4ADF9" w:rsidR="00752BF8" w:rsidRPr="00B44E63" w:rsidRDefault="009004E9" w:rsidP="00D34218">
            <w:pPr>
              <w:pStyle w:val="Nagwek3"/>
              <w:spacing w:after="120"/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wydłużenie realizacji projektu na mocy Aneksu nr </w:t>
            </w:r>
            <w:r w:rsidR="00057020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2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 do Umowy o dofinansowanie nr POPC.02.01.00-00-0107/19-0</w:t>
            </w:r>
            <w:r w:rsidR="00057020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0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-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pismo z 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1</w:t>
            </w:r>
            <w:r w:rsidR="00057020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9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</w:t>
            </w:r>
            <w:r w:rsidR="00057020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.202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CPPC-DEA.63.17.2.8</w:t>
            </w:r>
            <w:r w:rsidR="00057020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6</w:t>
            </w:r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.18/MNi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45DE2CB4" w14:textId="77777777" w:rsidR="00D77ACF" w:rsidRDefault="00D77ACF" w:rsidP="00752BF8"/>
          <w:p w14:paraId="19ABE683" w14:textId="77777777" w:rsidR="00A55958" w:rsidRDefault="00A55958" w:rsidP="00752BF8"/>
          <w:p w14:paraId="0F83F6C6" w14:textId="7765DBBD" w:rsidR="00A55958" w:rsidRPr="00752BF8" w:rsidRDefault="00A55958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A1A93C7" w:rsidR="004C1D48" w:rsidRDefault="004C1D48" w:rsidP="005569C0">
      <w:pPr>
        <w:pStyle w:val="Nagwek3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08A3E9ED" w14:textId="77777777" w:rsidR="00A55958" w:rsidRPr="00A55958" w:rsidRDefault="00A55958" w:rsidP="00A55958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8599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569C0">
        <w:trPr>
          <w:trHeight w:val="533"/>
        </w:trPr>
        <w:tc>
          <w:tcPr>
            <w:tcW w:w="2972" w:type="dxa"/>
            <w:vAlign w:val="center"/>
          </w:tcPr>
          <w:p w14:paraId="7F7E9834" w14:textId="3B23DAD5" w:rsidR="00884480" w:rsidRPr="00C54348" w:rsidRDefault="00090381" w:rsidP="00CE60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A22C1C">
              <w:rPr>
                <w:rFonts w:ascii="Arial" w:hAnsi="Arial" w:cs="Arial"/>
                <w:sz w:val="18"/>
                <w:szCs w:val="18"/>
              </w:rPr>
              <w:t>0,32</w:t>
            </w:r>
            <w:r w:rsidR="00815F79" w:rsidRPr="00A55958">
              <w:rPr>
                <w:rFonts w:ascii="Arial" w:hAnsi="Arial" w:cs="Arial"/>
                <w:sz w:val="18"/>
                <w:szCs w:val="18"/>
              </w:rPr>
              <w:t>%</w:t>
            </w:r>
            <w:r w:rsidR="002D73E9" w:rsidRPr="00A5595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560987F7" w:rsidR="00907F6D" w:rsidRPr="000774BA" w:rsidRDefault="00907F6D" w:rsidP="005569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70B6C9D" w14:textId="1D035D97" w:rsidR="00B22A79" w:rsidRPr="00C96491" w:rsidRDefault="00713D2E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84,95</w:t>
            </w:r>
            <w:r w:rsidR="00F72B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2C527A8F" w14:textId="7427E627" w:rsidR="00B22A79" w:rsidRPr="00C96491" w:rsidRDefault="00713D2E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2239BC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,87</w:t>
            </w:r>
            <w:r w:rsidR="56573265" w:rsidRPr="00C964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4929DAC9" w14:textId="3901F1AB" w:rsidR="00907F6D" w:rsidRPr="001E2867" w:rsidRDefault="00B22A79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nd.</w:t>
            </w:r>
          </w:p>
        </w:tc>
        <w:tc>
          <w:tcPr>
            <w:tcW w:w="3402" w:type="dxa"/>
            <w:vAlign w:val="center"/>
          </w:tcPr>
          <w:p w14:paraId="65BB31D3" w14:textId="7C103222" w:rsidR="00907F6D" w:rsidRPr="000774BA" w:rsidRDefault="00784598" w:rsidP="00556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</w:t>
            </w:r>
            <w:r w:rsidR="00713D2E">
              <w:rPr>
                <w:rFonts w:ascii="Arial" w:hAnsi="Arial" w:cs="Arial"/>
                <w:sz w:val="20"/>
                <w:szCs w:val="20"/>
              </w:rPr>
              <w:t>96</w:t>
            </w:r>
            <w:r w:rsidR="003A5E73" w:rsidRPr="6F7642B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42E183E3" w:rsidR="002D73E9" w:rsidRDefault="00B44E63" w:rsidP="005569C0">
      <w:pPr>
        <w:pStyle w:val="Nagwek3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4B0910" w:rsidRP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POPC.02.01.00-00-0107/19-0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0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- pismo z 1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(CPPC-DEA.63.17.2.8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6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.18/MNi)</w:t>
      </w:r>
    </w:p>
    <w:p w14:paraId="772D2613" w14:textId="77777777" w:rsidR="00A55958" w:rsidRPr="00A55958" w:rsidRDefault="00A55958" w:rsidP="00A55958">
      <w:pPr>
        <w:rPr>
          <w:lang w:eastAsia="pl-PL"/>
        </w:rPr>
      </w:pP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D6141C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6141C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5569C0">
        <w:trPr>
          <w:trHeight w:val="807"/>
        </w:trPr>
        <w:tc>
          <w:tcPr>
            <w:tcW w:w="3686" w:type="dxa"/>
            <w:vAlign w:val="center"/>
          </w:tcPr>
          <w:p w14:paraId="79C67474" w14:textId="3E073A1B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Opracowany projekt funkcjonalny/opracowana koncepcja biznesowo-techniczna /</w:t>
            </w:r>
            <w:r w:rsidRPr="005569C0">
              <w:rPr>
                <w:rFonts w:ascii="Arial" w:hAnsi="Arial" w:cs="Arial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5569C0" w:rsidRDefault="004134D6" w:rsidP="00D6141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D44DC13" w14:textId="77777777" w:rsidTr="005569C0">
        <w:trPr>
          <w:trHeight w:val="691"/>
        </w:trPr>
        <w:tc>
          <w:tcPr>
            <w:tcW w:w="3686" w:type="dxa"/>
            <w:vAlign w:val="center"/>
          </w:tcPr>
          <w:p w14:paraId="61D28686" w14:textId="2457774A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 xml:space="preserve">Zaakceptowane testy akceptacyjne usługi 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5569C0" w:rsidRDefault="00E86FE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5569C0" w:rsidRDefault="00E86FE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3CF3FF83" w14:textId="77777777" w:rsidTr="005569C0">
        <w:trPr>
          <w:trHeight w:val="701"/>
        </w:trPr>
        <w:tc>
          <w:tcPr>
            <w:tcW w:w="3686" w:type="dxa"/>
            <w:vAlign w:val="center"/>
          </w:tcPr>
          <w:p w14:paraId="243C0862" w14:textId="36AF8D1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>Zaakceptowane testy akceptacyjne usługi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5569C0" w:rsidRDefault="00425C95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5569C0" w:rsidRDefault="00425C95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4C38AFD" w14:textId="77777777" w:rsidTr="005569C0">
        <w:trPr>
          <w:trHeight w:val="428"/>
        </w:trPr>
        <w:tc>
          <w:tcPr>
            <w:tcW w:w="3686" w:type="dxa"/>
            <w:vAlign w:val="center"/>
          </w:tcPr>
          <w:p w14:paraId="202D112F" w14:textId="07C54C6B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53B8FCE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D5435" w14:textId="6283C083" w:rsidR="00DB3914" w:rsidRPr="005569C0" w:rsidRDefault="004B0910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B05B92"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05B92" w:rsidRPr="005569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5569C0" w:rsidRDefault="00DB391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5569C0" w:rsidRDefault="00DB391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0A57EE2" w14:textId="164EE5E8" w:rsidR="00263CE6" w:rsidRDefault="00B44E63" w:rsidP="005569C0">
      <w:pPr>
        <w:pStyle w:val="Nagwek3"/>
        <w:spacing w:after="120" w:line="240" w:lineRule="auto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4B0910" w:rsidRP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POPC.02.01.00-00-0107/19-0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0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- pismo z 1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(CPPC-DEA.63.17.2.8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6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.18/MNi)</w:t>
      </w:r>
    </w:p>
    <w:p w14:paraId="1ABB742C" w14:textId="246483D8" w:rsidR="00A55958" w:rsidRDefault="00A55958" w:rsidP="00A55958">
      <w:pPr>
        <w:rPr>
          <w:lang w:eastAsia="pl-PL"/>
        </w:rPr>
      </w:pPr>
    </w:p>
    <w:p w14:paraId="3F22B05D" w14:textId="77777777" w:rsidR="00A55958" w:rsidRPr="00A55958" w:rsidRDefault="00A55958" w:rsidP="00A55958">
      <w:pPr>
        <w:rPr>
          <w:lang w:eastAsia="pl-PL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2B50C0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9505A7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="00FB0415" w:rsidRPr="002B50C0" w14:paraId="060EEE52" w14:textId="77777777" w:rsidTr="00363E6C">
        <w:tc>
          <w:tcPr>
            <w:tcW w:w="3539" w:type="dxa"/>
          </w:tcPr>
          <w:p w14:paraId="0D680A0D" w14:textId="47E00962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511CCD7C" w:rsidR="00FB0415" w:rsidRPr="005F5D06" w:rsidRDefault="004B0910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B39B8" w:rsidRPr="005F5D06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5F5D06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E980E2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="004B0910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32F5ECF0" w14:textId="619CCE49" w:rsidR="00F86848" w:rsidRDefault="00F86848" w:rsidP="00F86848">
      <w:pPr>
        <w:pStyle w:val="Nagwek2"/>
        <w:keepNext w:val="0"/>
        <w:keepLines w:val="0"/>
        <w:spacing w:before="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4B0910" w:rsidRP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POPC.02.01.00-00-0107/19-0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0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- pismo z 1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(CPPC-DEA.63.17.2.8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6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.18/MNi)</w:t>
      </w:r>
    </w:p>
    <w:p w14:paraId="6D7C917C" w14:textId="5EE62361" w:rsidR="00A55958" w:rsidRDefault="00A55958" w:rsidP="00A55958">
      <w:pPr>
        <w:rPr>
          <w:lang w:eastAsia="pl-PL"/>
        </w:rPr>
      </w:pPr>
    </w:p>
    <w:p w14:paraId="3DE81848" w14:textId="0BF8460B" w:rsidR="00A55958" w:rsidRDefault="00A55958" w:rsidP="00A55958">
      <w:pPr>
        <w:rPr>
          <w:lang w:eastAsia="pl-PL"/>
        </w:rPr>
      </w:pPr>
    </w:p>
    <w:p w14:paraId="4EA3DD33" w14:textId="77777777" w:rsidR="00A55958" w:rsidRPr="00A55958" w:rsidRDefault="00A55958" w:rsidP="00A55958">
      <w:pPr>
        <w:rPr>
          <w:lang w:eastAsia="pl-PL"/>
        </w:rPr>
      </w:pPr>
    </w:p>
    <w:p w14:paraId="52A08447" w14:textId="39880A0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2640"/>
        <w:gridCol w:w="2069"/>
        <w:gridCol w:w="2378"/>
      </w:tblGrid>
      <w:tr w:rsidR="007D38BD" w:rsidRPr="002B50C0" w14:paraId="1F33CC02" w14:textId="77777777" w:rsidTr="7BCF093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06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5F40AE">
        <w:trPr>
          <w:trHeight w:val="472"/>
        </w:trPr>
        <w:tc>
          <w:tcPr>
            <w:tcW w:w="2547" w:type="dxa"/>
          </w:tcPr>
          <w:p w14:paraId="21262D83" w14:textId="7F7AACD6" w:rsidR="00D7287D" w:rsidRPr="00141A92" w:rsidRDefault="003A10E5" w:rsidP="005F40A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2640" w:type="dxa"/>
          </w:tcPr>
          <w:p w14:paraId="016C9765" w14:textId="6E84E47D" w:rsidR="00EB1AE0" w:rsidRPr="00600422" w:rsidRDefault="004B0910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069" w:type="dxa"/>
          </w:tcPr>
          <w:p w14:paraId="3DF8A089" w14:textId="74928B12" w:rsidR="00D7287D" w:rsidRPr="00141A92" w:rsidRDefault="00D7287D" w:rsidP="005F40A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78" w:type="dxa"/>
          </w:tcPr>
          <w:p w14:paraId="7DE99E5E" w14:textId="07DF980C" w:rsidR="00D7287D" w:rsidRPr="006D277F" w:rsidRDefault="006D277F" w:rsidP="005F40AE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0896C11F" w14:textId="71CA0E6A" w:rsidR="005F40AE" w:rsidRDefault="005F40AE" w:rsidP="005F40AE">
      <w:pPr>
        <w:pStyle w:val="Nagwek2"/>
        <w:keepNext w:val="0"/>
        <w:keepLines w:val="0"/>
        <w:spacing w:before="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4B0910" w:rsidRP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POPC.02.01.00-00-0107/19-0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0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- pismo z 1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(CPPC-DEA.63.17.2.8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6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.18/MNi)</w:t>
      </w:r>
    </w:p>
    <w:p w14:paraId="526AAE7B" w14:textId="534491B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B1BEF89" w:rsidR="00A86449" w:rsidRPr="00141A92" w:rsidRDefault="00D20E1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E1A">
              <w:rPr>
                <w:rFonts w:ascii="Arial" w:hAnsi="Arial" w:cs="Arial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</w:tcPr>
          <w:p w14:paraId="1DB94B1B" w14:textId="47517379" w:rsidR="00A86449" w:rsidRPr="00141A92" w:rsidRDefault="004B0910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44315"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544315"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34825FC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14:paraId="27AA3378" w14:textId="1256B41B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85540A" w14:textId="77777777" w:rsidR="007E3FFB" w:rsidRPr="00557690" w:rsidRDefault="007E3FFB" w:rsidP="007E3FFB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DE30A42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14:paraId="60F5EE7B" w14:textId="21E5F48A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Implementowanie</w:t>
            </w:r>
          </w:p>
          <w:p w14:paraId="55CABF45" w14:textId="77777777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A9C594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14:paraId="5E18AB0F" w14:textId="5A0D3B53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Gotowe.</w:t>
            </w:r>
          </w:p>
          <w:p w14:paraId="736734FD" w14:textId="6ADB407D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45F7DD" w14:textId="37D64902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Systemy analityczne – Polona dla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zbiorcze</w:t>
            </w:r>
            <w:r w:rsidR="008131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Implementowanie</w:t>
            </w:r>
          </w:p>
          <w:p w14:paraId="730A2AA9" w14:textId="77777777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61CFF0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14:paraId="43CDFE6D" w14:textId="1F2E2E61" w:rsidR="004C1D48" w:rsidRPr="00557690" w:rsidRDefault="007E3FFB" w:rsidP="006251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8131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Impe</w:t>
            </w:r>
            <w:r w:rsidR="00CD0C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mentowanie</w:t>
            </w:r>
          </w:p>
        </w:tc>
      </w:tr>
      <w:tr w:rsidR="00A553AF" w:rsidRPr="002B50C0" w14:paraId="040722ED" w14:textId="77777777" w:rsidTr="006251DB">
        <w:tc>
          <w:tcPr>
            <w:tcW w:w="2547" w:type="dxa"/>
          </w:tcPr>
          <w:p w14:paraId="7EA48703" w14:textId="07F1F205" w:rsidR="00A553AF" w:rsidRPr="00D20E1A" w:rsidRDefault="003F1EF3" w:rsidP="00A553AF">
            <w:pPr>
              <w:rPr>
                <w:rFonts w:ascii="Arial" w:hAnsi="Arial" w:cs="Arial"/>
                <w:sz w:val="18"/>
                <w:szCs w:val="18"/>
              </w:rPr>
            </w:pPr>
            <w:r w:rsidRPr="003F1EF3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</w:tcPr>
          <w:p w14:paraId="08DC85B7" w14:textId="7CFEB87A" w:rsidR="00A553AF" w:rsidRDefault="004B0910" w:rsidP="00A553AF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F1EF3"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3F1EF3"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F026845" w14:textId="77777777" w:rsidR="00A553AF" w:rsidRPr="00141A92" w:rsidRDefault="00A553AF" w:rsidP="00A553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5DFBD1" w14:textId="43639633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hAnsi="Arial" w:cs="Arial"/>
                <w:sz w:val="18"/>
                <w:szCs w:val="18"/>
              </w:rPr>
              <w:t>Polona dla Naukowców</w:t>
            </w:r>
            <w:r w:rsidR="007E1DE6" w:rsidRPr="00557690">
              <w:rPr>
                <w:rFonts w:ascii="Arial" w:hAnsi="Arial" w:cs="Arial"/>
                <w:sz w:val="18"/>
                <w:szCs w:val="18"/>
              </w:rPr>
              <w:t xml:space="preserve"> - Polona dla Naukowców korzysta z Obiektów cyfrowych i bazy użytkowników z </w:t>
            </w:r>
            <w:r w:rsidR="007E1DE6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Cyfrowego Biblioteki Narodowej.</w:t>
            </w:r>
          </w:p>
          <w:p w14:paraId="5688644D" w14:textId="77777777" w:rsidR="007E1DE6" w:rsidRPr="00557690" w:rsidRDefault="007E1DE6" w:rsidP="007E1DE6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404577" w14:textId="77777777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4140E9D" w14:textId="5A1E024B" w:rsidR="00223C10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</w:t>
            </w:r>
            <w:r w:rsidR="00223C10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40B32A15" w14:textId="055855EC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</w:t>
            </w:r>
            <w:r w:rsidR="00173722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Implementowanie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  <w:p w14:paraId="3462381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308FD06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Repozytorium zapewnia obiekty 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 xml:space="preserve">cyfrowe terminalom Cyfrowej wypożyczalni. </w:t>
            </w:r>
          </w:p>
          <w:p w14:paraId="370F1A6F" w14:textId="394123D9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3AAFF149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C84168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14:paraId="5975D7C2" w14:textId="5893C8F7" w:rsidR="00A553AF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Status integracji: </w:t>
            </w:r>
            <w:r w:rsidR="00CD0C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Implementowanie</w:t>
            </w:r>
          </w:p>
          <w:p w14:paraId="41EC01A4" w14:textId="77777777" w:rsidR="00CD0C58" w:rsidRPr="00557690" w:rsidRDefault="00CD0C58" w:rsidP="00CF01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4BCC76E4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Węzeł krajowy – Zapewnia użytkownikom Repozytorium możliwość potwierdzenia tożsamości. </w:t>
            </w:r>
          </w:p>
          <w:p w14:paraId="18E3199A" w14:textId="5ADF83B4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5B59E08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20805CC" w14:textId="170E643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="002E5409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Implementowanie</w:t>
            </w:r>
          </w:p>
          <w:p w14:paraId="28D319A9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9426BB8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ALMA – Repozytorium korzysta z danych katalogu ALMA. </w:t>
            </w:r>
          </w:p>
          <w:p w14:paraId="458C24DD" w14:textId="7687A754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2E5409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Implementowanie</w:t>
            </w:r>
          </w:p>
          <w:p w14:paraId="2C6EFC2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0E08B30C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– Repozytorium zapewnia dostęp do obiektów cyfrowych dla Polony. </w:t>
            </w:r>
          </w:p>
          <w:p w14:paraId="6A66C7AD" w14:textId="042B592D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</w:tc>
      </w:tr>
    </w:tbl>
    <w:p w14:paraId="6EA9A219" w14:textId="390361A8" w:rsidR="003C179A" w:rsidRPr="003C179A" w:rsidRDefault="003C179A" w:rsidP="005F40AE">
      <w:pPr>
        <w:pStyle w:val="Nagwek3"/>
        <w:keepNext w:val="0"/>
        <w:keepLines w:val="0"/>
        <w:spacing w:after="200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="004B0910" w:rsidRP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wydłużenie realizacji projektu na mocy Aneksu nr 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2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 do Umowy o dofinansowanie nr POPC.02.01.00-00-0107/19-0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0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- pismo z 1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9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.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>11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.2021r. 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(CPPC-DEA.63.17.2.8</w:t>
      </w:r>
      <w:r w:rsidR="004B0910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6</w:t>
      </w:r>
      <w:r w:rsidR="004B0910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.18/MNi)</w:t>
      </w:r>
    </w:p>
    <w:p w14:paraId="2AC8CEEF" w14:textId="62F1BB4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A55958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CF84D84" w14:textId="15DB9165" w:rsidR="00322614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6A9BB932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35BFD90C" w14:textId="0AE41239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C67D95" w:rsidRPr="00A55958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A55958" w:rsidRDefault="00C67D95" w:rsidP="00C67D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68616252"/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Budżet </w:t>
            </w:r>
            <w:r w:rsidR="001266C7" w:rsidRPr="00A55958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5374FF2" w14:textId="24311B4F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A55958" w:rsidRDefault="00C67D95" w:rsidP="00C67D95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6CA20DE7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1FFC415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2B62979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A55958" w:rsidRDefault="00C67D95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48443F5F" w14:textId="77777777" w:rsidR="005A6404" w:rsidRPr="00A55958" w:rsidRDefault="005A6404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57AD15" w14:textId="19003481" w:rsidR="00C67D95" w:rsidRPr="00A55958" w:rsidRDefault="00A5291A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C2689E" w:rsidRPr="00A55958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A55958" w:rsidRDefault="00C2689E" w:rsidP="00C268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158DAC5F" w:rsidR="00C2689E" w:rsidRPr="00976674" w:rsidRDefault="007968FF" w:rsidP="00C2689E">
            <w:pPr>
              <w:rPr>
                <w:rFonts w:ascii="Arial" w:hAnsi="Arial" w:cs="Arial"/>
                <w:sz w:val="18"/>
                <w:szCs w:val="18"/>
              </w:rPr>
            </w:pPr>
            <w:r w:rsidRPr="00976674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76AD9FE6" w14:textId="60A08F59" w:rsidR="00C2689E" w:rsidRPr="00976674" w:rsidRDefault="005B0B7B" w:rsidP="00C2689E">
            <w:pPr>
              <w:rPr>
                <w:rFonts w:ascii="Arial" w:hAnsi="Arial" w:cs="Arial"/>
                <w:sz w:val="18"/>
                <w:szCs w:val="18"/>
              </w:rPr>
            </w:pPr>
            <w:r w:rsidRPr="00976674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47DB5E37" w14:textId="77777777" w:rsidR="00C2689E" w:rsidRPr="00A55958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45BA3EDE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- systematycznego dokonywania przeglądów prac programistycznych,</w:t>
            </w:r>
          </w:p>
          <w:p w14:paraId="2C4C0C50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A55958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</w:t>
            </w:r>
            <w:r w:rsidR="007B6A2C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288CA380" w14:textId="2DAA6357" w:rsidR="00592F5B" w:rsidRPr="00516F67" w:rsidRDefault="00592F5B" w:rsidP="00592F5B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 xml:space="preserve">W związku z nadal trwającą pandemią COVID-19 i nasileniem się z tego powodu problemów z  dostępnością specjalistów w tak bardzo newralgicznym okresie trwania projektu, Kierownik Projektu będzie rekomendował Komitetowi Sterującemu złożenie wniosku do CPPC o wydłużenie czasu trwania projektu </w:t>
            </w:r>
            <w:r w:rsidR="003D615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1502A2" w:rsidRPr="001502A2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003D6158" w:rsidRPr="001502A2">
              <w:rPr>
                <w:rFonts w:ascii="Arial" w:hAnsi="Arial" w:cs="Arial"/>
                <w:sz w:val="18"/>
                <w:szCs w:val="18"/>
              </w:rPr>
              <w:t>ydłużenie projektu na mocy specustawy z dnia 03.04.2020 r. ust. 1</w:t>
            </w:r>
            <w:r w:rsidR="001502A2" w:rsidRPr="001502A2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D60053">
              <w:rPr>
                <w:rFonts w:ascii="Arial" w:eastAsia="Arial" w:hAnsi="Arial" w:cs="Arial"/>
                <w:sz w:val="18"/>
                <w:szCs w:val="18"/>
              </w:rPr>
              <w:t xml:space="preserve">oraz aneksowanie </w:t>
            </w:r>
            <w:r w:rsidRPr="00516F67">
              <w:rPr>
                <w:rFonts w:ascii="Arial" w:eastAsia="Arial" w:hAnsi="Arial" w:cs="Arial"/>
                <w:sz w:val="18"/>
                <w:szCs w:val="18"/>
              </w:rPr>
              <w:t>umów bodyleasingowych w celu zabezpieczenia możliwości pracy przez specjalistów i zrealizowanie celów projektu.</w:t>
            </w:r>
          </w:p>
          <w:p w14:paraId="6823A45C" w14:textId="77777777" w:rsidR="00DF351C" w:rsidRPr="00516F6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3A654725" w14:textId="7CAB0DBD" w:rsidR="00DF351C" w:rsidRPr="00516F6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DC2464">
              <w:rPr>
                <w:rFonts w:ascii="Arial" w:hAnsi="Arial" w:cs="Arial"/>
                <w:sz w:val="18"/>
                <w:szCs w:val="18"/>
              </w:rPr>
              <w:t>22</w:t>
            </w:r>
            <w:r w:rsidRPr="00516F67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5A673B98" w14:textId="77777777" w:rsidR="00DF351C" w:rsidRPr="00516F67" w:rsidRDefault="00DF351C" w:rsidP="00DF351C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4566184D" w14:textId="77777777" w:rsidR="00DF351C" w:rsidRPr="00516F67" w:rsidRDefault="00DF351C" w:rsidP="00DF351C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4FFFCA8C" w14:textId="628AA8AC" w:rsidR="007968FF" w:rsidRPr="00516F67" w:rsidRDefault="00DF351C" w:rsidP="00516F6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230A3A99" w14:textId="77777777" w:rsidR="007968FF" w:rsidRPr="00D60053" w:rsidRDefault="007968FF" w:rsidP="007968FF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D60053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7696C5EF" w:rsidR="00C2689E" w:rsidRPr="00A55958" w:rsidRDefault="005B0B7B" w:rsidP="007968FF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1EB6">
              <w:rPr>
                <w:rFonts w:ascii="Arial" w:hAnsi="Arial" w:cs="Arial"/>
                <w:sz w:val="18"/>
                <w:szCs w:val="18"/>
              </w:rPr>
              <w:t>Zmniejszone</w:t>
            </w:r>
            <w:r w:rsidR="007968FF" w:rsidRPr="004D1EB6">
              <w:rPr>
                <w:rFonts w:ascii="Arial" w:hAnsi="Arial" w:cs="Arial"/>
                <w:sz w:val="18"/>
                <w:szCs w:val="18"/>
              </w:rPr>
              <w:t xml:space="preserve"> prawdopodobieństwo względem poprzedniego okresu sprawozdawczego</w:t>
            </w:r>
            <w:r w:rsidR="00652D7E" w:rsidRPr="004D1E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2D7E" w:rsidRPr="004D1EB6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="00652D7E" w:rsidRPr="004D1EB6">
              <w:rPr>
                <w:rFonts w:ascii="Arial" w:eastAsia="Arial" w:hAnsi="Arial" w:cs="Arial"/>
                <w:sz w:val="18"/>
                <w:szCs w:val="18"/>
                <w:u w:val="single"/>
              </w:rPr>
              <w:t>powiązanie z ryzykiem „</w:t>
            </w:r>
            <w:r w:rsidR="00652D7E" w:rsidRPr="004D1EB6">
              <w:rPr>
                <w:rFonts w:ascii="Arial" w:hAnsi="Arial" w:cs="Arial"/>
                <w:sz w:val="18"/>
                <w:szCs w:val="18"/>
                <w:u w:val="single"/>
              </w:rPr>
              <w:t>COVID-19 – zasoby”.</w:t>
            </w:r>
          </w:p>
        </w:tc>
      </w:tr>
      <w:tr w:rsidR="00FA0CD2" w:rsidRPr="00A55958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A55958" w:rsidRDefault="00FA0CD2" w:rsidP="00FA0CD2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5A6F3DA8" w:rsidR="00FA0CD2" w:rsidRPr="00D60053" w:rsidRDefault="007968FF" w:rsidP="00FA0CD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7FB797F" w14:textId="02A24C3D" w:rsidR="00FA0CD2" w:rsidRPr="00D60053" w:rsidRDefault="007968FF" w:rsidP="00FA0CD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148E3D2D" w14:textId="77777777" w:rsidR="00FA0CD2" w:rsidRPr="00A55958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AC79FDB" w14:textId="77777777" w:rsidR="00725A3F" w:rsidRPr="00A55958" w:rsidRDefault="008E25E2" w:rsidP="00982A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celu redukcji ryzyka</w:t>
            </w:r>
            <w:r w:rsidR="00725A3F"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="00C46EB2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07C01BF" w14:textId="6E98404B" w:rsidR="00763847" w:rsidRPr="00A55958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>odpisa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an</w:t>
            </w:r>
            <w:r w:rsidR="00763847" w:rsidRPr="00A55958">
              <w:rPr>
                <w:rFonts w:ascii="Arial" w:hAnsi="Arial" w:cs="Arial"/>
                <w:color w:val="000000"/>
                <w:sz w:val="18"/>
                <w:szCs w:val="18"/>
              </w:rPr>
              <w:t>eks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ó</w:t>
            </w:r>
            <w:r w:rsidR="00A71943" w:rsidRPr="00A55958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wykonawczej UM/2020/00047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BFA8AD7" w14:textId="082B14FE" w:rsidR="006A00FE" w:rsidRPr="00A55958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1</w:t>
            </w:r>
          </w:p>
          <w:p w14:paraId="421B07D7" w14:textId="0889DD46" w:rsidR="008E25E2" w:rsidRPr="00A55958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enie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ilości </w:t>
            </w:r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>osób dla poszczególnych ról (aneks bezkosztowy)</w:t>
            </w:r>
          </w:p>
          <w:p w14:paraId="0253F946" w14:textId="544AA5E1" w:rsidR="009F1699" w:rsidRPr="00A55958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2</w:t>
            </w:r>
            <w:r w:rsidR="00F74F0B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>enie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ilość roboczogodzin w umowie wykonawczej 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>do maksymalnej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ilości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określonej w umowie 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>ramowej</w:t>
            </w:r>
          </w:p>
          <w:p w14:paraId="5F909DE6" w14:textId="2C6F2A68" w:rsidR="00C3647C" w:rsidRPr="00A55958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wykorzystanie 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>nieskonsumowanych</w:t>
            </w:r>
            <w:r w:rsidR="00EB262C" w:rsidRPr="00A55958">
              <w:rPr>
                <w:rFonts w:ascii="Arial" w:hAnsi="Arial" w:cs="Arial"/>
                <w:sz w:val="18"/>
                <w:szCs w:val="18"/>
              </w:rPr>
              <w:t xml:space="preserve"> obecnie podpisaną umową wykonawczą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środ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ków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otrzyman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przez Bibliotekę Narodową na dofinansowanie projek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FBAA9AE" w14:textId="53BAD961" w:rsidR="000B0FB4" w:rsidRPr="00A55958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Prace nad dokumentacją SIWZ do nowego postępowania PZP</w:t>
            </w:r>
          </w:p>
          <w:p w14:paraId="42324A0F" w14:textId="5933A355" w:rsidR="003D2C7D" w:rsidRPr="00A55958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Ogłoszenie w dniu 18.12.2020 r. postępowania na body leasing.</w:t>
            </w:r>
          </w:p>
          <w:p w14:paraId="2D0DE94B" w14:textId="1B17438E" w:rsidR="00B30E04" w:rsidRPr="00A55958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668754AF" w14:textId="23F42B55" w:rsidR="00F72BCC" w:rsidRPr="00A55958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7A664B44" w14:textId="77777777" w:rsidR="00AD5C4B" w:rsidRDefault="00F72BCC" w:rsidP="00AD5C4B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1EC4E43A" w14:textId="51927383" w:rsidR="00AD5C4B" w:rsidRPr="00194759" w:rsidRDefault="00AD5C4B" w:rsidP="00AD5C4B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 w:rsidRPr="00194759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Podpisanie umowy nr UM/2021/00089  w dniu 30.07.2021 r. z wykonawcą  i rozplanowanie prac z uwzględnieniem nowych zasobów. </w:t>
            </w:r>
          </w:p>
          <w:p w14:paraId="3C7DF22E" w14:textId="77777777" w:rsidR="00AD5C4B" w:rsidRPr="00194759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46C0AD45" w14:textId="4E38FB4F" w:rsidR="00AD5C4B" w:rsidRPr="00194759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194759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68C412BF" w14:textId="77777777" w:rsidR="00AD5C4B" w:rsidRPr="00194759" w:rsidRDefault="00AD5C4B" w:rsidP="00AD5C4B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45100BB1" w14:textId="77777777" w:rsidR="00AD5C4B" w:rsidRPr="00194759" w:rsidRDefault="00AD5C4B" w:rsidP="00AD5C4B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5CE446D3" w14:textId="42A645B8" w:rsidR="00AD5C4B" w:rsidRPr="00194759" w:rsidRDefault="00AD5C4B" w:rsidP="00AD5C4B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242EC627" w14:textId="77777777" w:rsidR="00A55958" w:rsidRDefault="00AD5C4B" w:rsidP="007968FF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759">
              <w:rPr>
                <w:rFonts w:ascii="Arial" w:hAnsi="Arial" w:cs="Arial"/>
                <w:color w:val="000000"/>
                <w:sz w:val="18"/>
                <w:szCs w:val="18"/>
              </w:rPr>
              <w:t>Spodziewane efekty to zapewnienie specjalistów do realizacji prac w projekcie, a także pokrycie roboczogodzinami okresu, o jaki został wydłużony projekt aneksem nr 2 do umowy o dofinansowanie tj. 31.03.2022 r.</w:t>
            </w:r>
          </w:p>
          <w:p w14:paraId="2570AA8C" w14:textId="6B1AD4C5" w:rsidR="00893E79" w:rsidRPr="00AD5C4B" w:rsidRDefault="00893E79" w:rsidP="007968FF">
            <w:pPr>
              <w:spacing w:after="240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7968FF" w:rsidRPr="00A55958" w14:paraId="7C981C73" w14:textId="77777777" w:rsidTr="4CA5E658">
        <w:tc>
          <w:tcPr>
            <w:tcW w:w="1560" w:type="dxa"/>
            <w:vAlign w:val="center"/>
          </w:tcPr>
          <w:p w14:paraId="1EE1F6AF" w14:textId="7565517E" w:rsidR="007968FF" w:rsidRPr="00775FAA" w:rsidRDefault="00CB3BEA" w:rsidP="00FA0CD2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COVID-19 - zasoby</w:t>
            </w:r>
          </w:p>
        </w:tc>
        <w:tc>
          <w:tcPr>
            <w:tcW w:w="1275" w:type="dxa"/>
            <w:vAlign w:val="center"/>
          </w:tcPr>
          <w:p w14:paraId="5DC14C53" w14:textId="296AF014" w:rsidR="007968FF" w:rsidRPr="00E834B2" w:rsidRDefault="007968FF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14:paraId="5B99ECB2" w14:textId="7C4AD2D2" w:rsidR="007968FF" w:rsidRPr="00E834B2" w:rsidRDefault="007968FF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00C3AFBE" w14:textId="77777777" w:rsidR="007968FF" w:rsidRPr="003E39C4" w:rsidRDefault="007968FF" w:rsidP="003507B9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3E39C4">
              <w:rPr>
                <w:rFonts w:ascii="Arial" w:eastAsia="Arial" w:hAnsi="Arial" w:cs="Arial"/>
                <w:sz w:val="18"/>
                <w:szCs w:val="18"/>
              </w:rPr>
              <w:t>Redukowanie</w:t>
            </w:r>
          </w:p>
          <w:p w14:paraId="26B777BF" w14:textId="77777777" w:rsidR="00775FAA" w:rsidRPr="003E39C4" w:rsidRDefault="00775FAA" w:rsidP="003507B9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3E39C4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6C3CA67B" w14:textId="77777777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6DCB9F70" w14:textId="77777777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37B0751D" w14:textId="497878D2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W wyniku większej ilości zachorowań i powikłań wśród specjalistów ze względu na COVID-19, a co za tym idzie zwiększoną absencję kluczowych pracowników, co ma wpływ na zablokowanie możliwości zadań przez nich realizowanych oraz zadań współzależnych realizowanych przez innych specjalistów, Kierownik projektu będzie wnioskował do Komitetu Sterującego o możliwość złożenia wniosku o wydłużenie projektu, aby zminimalizować opóźnienia w wytwarzaniu oprogramowania wynikające z nieobecności specjalistów z bodyleasingu lub zasobów własnych BN. Wydłużenie projektu na mocy specustawy z dnia 03.04.2020 r. ust. </w:t>
            </w:r>
            <w:r w:rsidR="00FA0FE5" w:rsidRPr="003E39C4">
              <w:rPr>
                <w:rFonts w:ascii="Arial" w:hAnsi="Arial" w:cs="Arial"/>
                <w:sz w:val="18"/>
                <w:szCs w:val="18"/>
              </w:rPr>
              <w:t>12</w:t>
            </w:r>
            <w:r w:rsidR="00820191" w:rsidRPr="003E39C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89A2E5" w14:textId="3111DC1F" w:rsidR="00636783" w:rsidRPr="004C4B48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także rekomendował Komitetowi Sterującemu aneksowanie umów bodyleasingowych nr UM/2021/00033 oraz UM/2021/00089 o wnioskowany okres oraz do 10% wartości w celu zabezpieczenia możliwości pracy niezbędnych </w:t>
            </w:r>
            <w:r w:rsidRPr="003E39C4">
              <w:rPr>
                <w:rFonts w:ascii="Arial" w:hAnsi="Arial" w:cs="Arial"/>
                <w:sz w:val="18"/>
                <w:szCs w:val="18"/>
              </w:rPr>
              <w:lastRenderedPageBreak/>
              <w:t xml:space="preserve">specjalistów do zrealizowania powyższych działań w </w:t>
            </w:r>
            <w:r w:rsidRPr="004C4B48">
              <w:rPr>
                <w:rFonts w:ascii="Arial" w:hAnsi="Arial" w:cs="Arial"/>
                <w:sz w:val="18"/>
                <w:szCs w:val="18"/>
              </w:rPr>
              <w:t>wydłużonym czasie.</w:t>
            </w:r>
          </w:p>
          <w:p w14:paraId="6119D440" w14:textId="77777777" w:rsidR="0001030A" w:rsidRPr="004C4B48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36F075C4" w14:textId="27CB0D11" w:rsidR="0001030A" w:rsidRPr="004C4B48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4C4B48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41E2A3DD" w14:textId="77777777" w:rsidR="0001030A" w:rsidRPr="004C4B48" w:rsidRDefault="0001030A" w:rsidP="0001030A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2EB52FF3" w14:textId="77777777" w:rsidR="0001030A" w:rsidRPr="004C4B48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77FD4EDF" w14:textId="77777777" w:rsidR="0001030A" w:rsidRPr="004C4B48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153659A5" w14:textId="7010AD9B" w:rsidR="0001030A" w:rsidRPr="004C4B48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14:paraId="4AE0FF5B" w14:textId="0EA10FE9" w:rsidR="00825E6F" w:rsidRPr="00386947" w:rsidRDefault="00825E6F" w:rsidP="008002E7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386947">
              <w:rPr>
                <w:rFonts w:ascii="Arial" w:hAnsi="Arial" w:cs="Arial"/>
                <w:sz w:val="18"/>
                <w:szCs w:val="18"/>
              </w:rPr>
              <w:t xml:space="preserve"> oraz k</w:t>
            </w:r>
            <w:r w:rsidR="008002E7" w:rsidRPr="00386947">
              <w:rPr>
                <w:rFonts w:ascii="Arial" w:eastAsia="Arial" w:hAnsi="Arial" w:cs="Arial"/>
                <w:sz w:val="18"/>
                <w:szCs w:val="18"/>
              </w:rPr>
              <w:t>ontynuowan</w:t>
            </w:r>
            <w:r w:rsidR="00257752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00C04E2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04E25">
              <w:rPr>
                <w:rFonts w:eastAsia="Arial"/>
              </w:rPr>
              <w:t>inne</w:t>
            </w:r>
            <w:r w:rsidR="008002E7" w:rsidRPr="00386947">
              <w:rPr>
                <w:rFonts w:ascii="Arial" w:eastAsia="Arial" w:hAnsi="Arial" w:cs="Arial"/>
                <w:sz w:val="18"/>
                <w:szCs w:val="18"/>
              </w:rPr>
              <w:t xml:space="preserve"> działania mające na celu zarządzanie ryzykiem</w:t>
            </w:r>
            <w:r w:rsidR="00257752">
              <w:rPr>
                <w:rFonts w:ascii="Arial" w:eastAsia="Arial" w:hAnsi="Arial" w:cs="Arial"/>
                <w:sz w:val="18"/>
                <w:szCs w:val="18"/>
              </w:rPr>
              <w:t xml:space="preserve"> m.in. dbałość o 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większ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ą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wymian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ę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informacji </w:t>
            </w:r>
            <w:r w:rsidR="00C04E2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 projekcie.</w:t>
            </w:r>
          </w:p>
          <w:p w14:paraId="6853EB6C" w14:textId="77777777" w:rsidR="00D9135A" w:rsidRPr="004C4B48" w:rsidRDefault="0001030A" w:rsidP="00775FAA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Spodziewane efekty – minimalizacja ryzyka zachorowania poprzez utrzymanie pracy zdalnej.</w:t>
            </w:r>
          </w:p>
          <w:p w14:paraId="3B1A5769" w14:textId="4D8FDB62" w:rsidR="003A5CE5" w:rsidRPr="0001030A" w:rsidRDefault="003A5CE5" w:rsidP="00775FAA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775FAA" w:rsidRPr="00A55958" w14:paraId="67F453D3" w14:textId="77777777" w:rsidTr="4CA5E658">
        <w:tc>
          <w:tcPr>
            <w:tcW w:w="1560" w:type="dxa"/>
            <w:vAlign w:val="center"/>
          </w:tcPr>
          <w:p w14:paraId="3B4354CE" w14:textId="46DCA73A" w:rsidR="00775FAA" w:rsidRPr="00775FAA" w:rsidRDefault="00775FAA" w:rsidP="00FA0CD2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460E00">
              <w:rPr>
                <w:rFonts w:ascii="Arial" w:eastAsia="Arial" w:hAnsi="Arial" w:cs="Arial"/>
                <w:sz w:val="18"/>
                <w:szCs w:val="18"/>
              </w:rPr>
              <w:lastRenderedPageBreak/>
              <w:t>Środowisko produkcyjne oraz Węzeł Krajowy</w:t>
            </w:r>
            <w:r w:rsidR="00DD3F18" w:rsidRPr="00460E00">
              <w:rPr>
                <w:rFonts w:ascii="Arial" w:eastAsia="Arial" w:hAnsi="Arial" w:cs="Arial"/>
                <w:sz w:val="18"/>
                <w:szCs w:val="18"/>
              </w:rPr>
              <w:t xml:space="preserve"> - opóźnienie</w:t>
            </w:r>
          </w:p>
        </w:tc>
        <w:tc>
          <w:tcPr>
            <w:tcW w:w="1275" w:type="dxa"/>
            <w:vAlign w:val="center"/>
          </w:tcPr>
          <w:p w14:paraId="211948D1" w14:textId="7656A263" w:rsidR="00775FAA" w:rsidRPr="00E834B2" w:rsidRDefault="00775FAA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14:paraId="620B3591" w14:textId="2762F9C2" w:rsidR="00775FAA" w:rsidRPr="00E834B2" w:rsidRDefault="00775FAA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2A844F50" w14:textId="77777777" w:rsidR="00164DA7" w:rsidRPr="00A35239" w:rsidRDefault="00164DA7" w:rsidP="00775FAA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A35239">
              <w:rPr>
                <w:rFonts w:ascii="Arial" w:eastAsia="Arial" w:hAnsi="Arial" w:cs="Arial"/>
                <w:sz w:val="18"/>
                <w:szCs w:val="18"/>
              </w:rPr>
              <w:t>Redukowanie</w:t>
            </w:r>
          </w:p>
          <w:p w14:paraId="5662B25F" w14:textId="127B9809" w:rsidR="00775FAA" w:rsidRPr="00A35239" w:rsidRDefault="00775FAA" w:rsidP="00775FAA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A35239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75B3DD60" w14:textId="77777777" w:rsidR="00E20638" w:rsidRPr="00A35239" w:rsidRDefault="00E20638" w:rsidP="00E20638">
            <w:pPr>
              <w:pStyle w:val="Akapitzlist"/>
              <w:numPr>
                <w:ilvl w:val="0"/>
                <w:numId w:val="35"/>
              </w:numPr>
              <w:spacing w:after="24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>Prace związane z połączeniem z Węzłem Krajowym realizowane są w projekcie PDB 2.0, a e-usługa PDN będzie korzystała z potwierdzenia tożsamości poprzez login.gov.pl, w celu świadczenia kluczowych funkcjonalności  np. upublicznianie projektu naukowego.</w:t>
            </w:r>
          </w:p>
          <w:p w14:paraId="13842A19" w14:textId="785F3DF9" w:rsidR="00A566D4" w:rsidRPr="00A35239" w:rsidRDefault="00A566D4" w:rsidP="00E20638">
            <w:pPr>
              <w:pStyle w:val="Akapitzlist"/>
              <w:spacing w:after="24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Ze względu na brak komunikacji z </w:t>
            </w:r>
            <w:r w:rsidR="003F0DED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które jest odpowiedzialne za integracje z Węzłem Krajowym (login.gov.pl), które wygenerowało znaczne opóźnienie w realizacji zadań związanych z  integracją z ww. Węzłem, Kierownik projektu zwrócił się do kierownika BPIT o wsparcie.</w:t>
            </w:r>
            <w:r w:rsidR="00F1133F">
              <w:rPr>
                <w:rFonts w:ascii="Arial" w:hAnsi="Arial" w:cs="Arial"/>
                <w:sz w:val="18"/>
                <w:szCs w:val="18"/>
              </w:rPr>
              <w:t xml:space="preserve"> Eskalacja problemu w POPC Wsparcie.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Komunikacja została udrożniona i prace zostały podjęte. Jednakże odnotowano znaczne opóźnienie w realizacji postawionych celi. (Nie otrzymaliśmy informacji zwrotnej ze strony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czy problemy wynikały z absencji chorobowej pracowników czy z innych powodów.)</w:t>
            </w:r>
          </w:p>
          <w:p w14:paraId="11402C4C" w14:textId="311EA64A" w:rsidR="00A6574B" w:rsidRPr="00A35239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W wyniku opóźnień ze względu na współpracę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jak również dalsze opóźniania wynikające z trwającej nadal pandemii COVID-19, Kierownik projektu będzie rekomendował Komitetowi Sterującemu złożenie wniosku do CPPC o wydłużenie czasu trwania</w:t>
            </w:r>
            <w:r w:rsidR="00EA4DB3" w:rsidRPr="00A35239">
              <w:rPr>
                <w:rFonts w:ascii="Arial" w:hAnsi="Arial" w:cs="Arial"/>
                <w:sz w:val="18"/>
                <w:szCs w:val="18"/>
              </w:rPr>
              <w:t xml:space="preserve"> projektu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7C48" w:rsidRPr="00A35239">
              <w:rPr>
                <w:rFonts w:ascii="Arial" w:hAnsi="Arial" w:cs="Arial"/>
                <w:sz w:val="18"/>
                <w:szCs w:val="18"/>
              </w:rPr>
              <w:t>(okres toż</w:t>
            </w:r>
            <w:r w:rsidR="003B6619" w:rsidRPr="00A35239">
              <w:rPr>
                <w:rFonts w:ascii="Arial" w:hAnsi="Arial" w:cs="Arial"/>
                <w:sz w:val="18"/>
                <w:szCs w:val="18"/>
              </w:rPr>
              <w:t>samy z okresem PDB 2.0 ze względu na powiązanie projektów)</w:t>
            </w:r>
            <w:r w:rsidR="00EA4DB3"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na mocy specustawy z dnia 03.04.2020 r. ust.</w:t>
            </w:r>
            <w:r w:rsidR="004863C8" w:rsidRPr="00A35239">
              <w:rPr>
                <w:rFonts w:ascii="Arial" w:hAnsi="Arial" w:cs="Arial"/>
                <w:sz w:val="18"/>
                <w:szCs w:val="18"/>
              </w:rPr>
              <w:t>12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2D7F" w:rsidRPr="00A35239">
              <w:rPr>
                <w:rFonts w:ascii="Arial" w:hAnsi="Arial" w:cs="Arial"/>
                <w:sz w:val="18"/>
                <w:szCs w:val="18"/>
              </w:rPr>
              <w:t>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Wydłużony okres trwania projektu pozwoli  na kontynuację prac w realiach trwającej pandemii Covid 19 uruchomienie środowiska, jego przetestowanie, stabilizację, przeniesienie modyfikowanych w ramach projektu RCBN oraz Polony oraz wystąpienie formalne do COI i Ministerstwa o przyłączenie do Węzła Krajowego. </w:t>
            </w:r>
          </w:p>
          <w:p w14:paraId="65F028AA" w14:textId="6CDFB85D" w:rsidR="00A6574B" w:rsidRPr="00FA3A30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lastRenderedPageBreak/>
              <w:t xml:space="preserve">W związku z powyższym Kierownik projektu będzie także rekomendował Komitetowi Sterującemu aneksowanie umów bodyleasingowych nr UM/2021/00033 oraz UM/2021/00089 o wnioskowany okres oraz do 10% </w:t>
            </w:r>
            <w:r w:rsidRPr="00FA3A30">
              <w:rPr>
                <w:rFonts w:ascii="Arial" w:hAnsi="Arial" w:cs="Arial"/>
                <w:sz w:val="18"/>
                <w:szCs w:val="18"/>
              </w:rPr>
              <w:t>wartości w celu zabezpieczenia możliwości pracy niezbędnych specjalistów do zrealizowania powyższych działań w wydłużonym czasie.</w:t>
            </w:r>
          </w:p>
          <w:p w14:paraId="776F6266" w14:textId="77777777" w:rsidR="0001030A" w:rsidRPr="00FA3A30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071EE80E" w14:textId="7BA9BB9E" w:rsidR="0001030A" w:rsidRPr="00FA3A30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FA3A30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14:paraId="47B92472" w14:textId="77777777" w:rsidR="0001030A" w:rsidRPr="00FA3A30" w:rsidRDefault="0001030A" w:rsidP="0001030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14:paraId="24B80E92" w14:textId="77777777" w:rsidR="0001030A" w:rsidRPr="00FA3A30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14:paraId="4413B2C2" w14:textId="77777777" w:rsidR="0001030A" w:rsidRPr="00FA3A30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14:paraId="42BD8D66" w14:textId="77777777" w:rsidR="0001030A" w:rsidRPr="00FA3A30" w:rsidRDefault="0001030A" w:rsidP="0001030A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14:paraId="4954DF6B" w14:textId="77777777" w:rsidR="00A6574B" w:rsidRPr="00FA3A30" w:rsidRDefault="00A6574B" w:rsidP="00A6574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Spodziewane efekty z działań to osiągnięcie celu polegającego na integracji z Węzłem Krajowym oraz minimalizacja ryzyka niedostarczenia modyfikowanych funkcjonalności.</w:t>
            </w:r>
          </w:p>
          <w:p w14:paraId="13DFED28" w14:textId="77777777" w:rsidR="00D9135A" w:rsidRPr="00FA3A30" w:rsidRDefault="0048769D" w:rsidP="00BD6D61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R</w:t>
            </w:r>
            <w:r w:rsidR="00A6574B" w:rsidRPr="00FA3A30">
              <w:rPr>
                <w:rFonts w:ascii="Arial" w:hAnsi="Arial" w:cs="Arial"/>
                <w:sz w:val="18"/>
                <w:szCs w:val="18"/>
              </w:rPr>
              <w:t xml:space="preserve">yzyko </w:t>
            </w:r>
            <w:r w:rsidR="00A6574B" w:rsidRPr="00FA3A30">
              <w:rPr>
                <w:rFonts w:ascii="Arial" w:eastAsia="Arial" w:hAnsi="Arial" w:cs="Arial"/>
                <w:sz w:val="18"/>
                <w:szCs w:val="18"/>
              </w:rPr>
              <w:t>– powiązanie z ryzykiem „</w:t>
            </w:r>
            <w:r w:rsidR="00A6574B" w:rsidRPr="00FA3A30">
              <w:rPr>
                <w:rFonts w:ascii="Arial" w:hAnsi="Arial" w:cs="Arial"/>
                <w:sz w:val="18"/>
                <w:szCs w:val="18"/>
              </w:rPr>
              <w:t>COVID-19 – zasoby”</w:t>
            </w:r>
            <w:r w:rsidR="00460E00" w:rsidRPr="00FA3A30">
              <w:rPr>
                <w:rFonts w:ascii="Arial" w:hAnsi="Arial" w:cs="Arial"/>
                <w:sz w:val="18"/>
                <w:szCs w:val="18"/>
              </w:rPr>
              <w:t xml:space="preserve"> oraz „</w:t>
            </w:r>
            <w:r w:rsidR="00460E00" w:rsidRPr="00FA3A3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produktami”.</w:t>
            </w:r>
          </w:p>
          <w:p w14:paraId="6312EBFE" w14:textId="49AAE3D6" w:rsidR="0008738C" w:rsidRPr="00A35239" w:rsidRDefault="0008738C" w:rsidP="00A6574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FA3A3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</w:tbl>
    <w:bookmarkEnd w:id="1"/>
    <w:p w14:paraId="7BB64F32" w14:textId="3CE32D2E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A55958" w14:paraId="061EEDF1" w14:textId="77777777" w:rsidTr="00A55958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55958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A55958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A55958" w14:paraId="6DCB94C6" w14:textId="77777777" w:rsidTr="00A55958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A55958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A55958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A5595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A5595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A55958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A5595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1A5E3613" w:rsidR="000C1F7A" w:rsidRPr="000C1F7A" w:rsidRDefault="002E5409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="00A55958" w:rsidRPr="00495CAB">
          <w:rPr>
            <w:rStyle w:val="Hipercze"/>
            <w:rFonts w:ascii="Arial" w:hAnsi="Arial" w:cs="Arial"/>
          </w:rPr>
          <w:t>d.cieszkowski@bn.org.pl</w:t>
        </w:r>
      </w:hyperlink>
      <w:r w:rsidR="00A55958">
        <w:rPr>
          <w:rFonts w:ascii="Arial" w:hAnsi="Arial" w:cs="Arial"/>
        </w:rPr>
        <w:t xml:space="preserve"> </w:t>
      </w:r>
    </w:p>
    <w:p w14:paraId="3E707801" w14:textId="0184B171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88664" w14:textId="77777777" w:rsidR="004B5FCD" w:rsidRDefault="004B5FCD" w:rsidP="00BB2420">
      <w:pPr>
        <w:spacing w:after="0" w:line="240" w:lineRule="auto"/>
      </w:pPr>
      <w:r>
        <w:separator/>
      </w:r>
    </w:p>
  </w:endnote>
  <w:endnote w:type="continuationSeparator" w:id="0">
    <w:p w14:paraId="1588CB87" w14:textId="77777777" w:rsidR="004B5FCD" w:rsidRDefault="004B5F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C73A6" w14:textId="77777777" w:rsidR="004B5FCD" w:rsidRDefault="004B5FCD" w:rsidP="00BB2420">
      <w:pPr>
        <w:spacing w:after="0" w:line="240" w:lineRule="auto"/>
      </w:pPr>
      <w:r>
        <w:separator/>
      </w:r>
    </w:p>
  </w:footnote>
  <w:footnote w:type="continuationSeparator" w:id="0">
    <w:p w14:paraId="6F988F01" w14:textId="77777777" w:rsidR="004B5FCD" w:rsidRDefault="004B5FC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60328"/>
    <w:multiLevelType w:val="hybridMultilevel"/>
    <w:tmpl w:val="CEE6CD82"/>
    <w:lvl w:ilvl="0" w:tplc="6DC0D8E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04C1F"/>
    <w:multiLevelType w:val="hybridMultilevel"/>
    <w:tmpl w:val="76AC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06BB0"/>
    <w:multiLevelType w:val="hybridMultilevel"/>
    <w:tmpl w:val="02141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4"/>
  </w:num>
  <w:num w:numId="4">
    <w:abstractNumId w:val="17"/>
  </w:num>
  <w:num w:numId="5">
    <w:abstractNumId w:val="29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27"/>
  </w:num>
  <w:num w:numId="13">
    <w:abstractNumId w:val="22"/>
  </w:num>
  <w:num w:numId="14">
    <w:abstractNumId w:val="2"/>
  </w:num>
  <w:num w:numId="15">
    <w:abstractNumId w:val="31"/>
  </w:num>
  <w:num w:numId="16">
    <w:abstractNumId w:val="13"/>
  </w:num>
  <w:num w:numId="17">
    <w:abstractNumId w:val="19"/>
  </w:num>
  <w:num w:numId="18">
    <w:abstractNumId w:val="18"/>
  </w:num>
  <w:num w:numId="19">
    <w:abstractNumId w:val="14"/>
  </w:num>
  <w:num w:numId="20">
    <w:abstractNumId w:val="33"/>
  </w:num>
  <w:num w:numId="21">
    <w:abstractNumId w:val="25"/>
  </w:num>
  <w:num w:numId="22">
    <w:abstractNumId w:val="26"/>
  </w:num>
  <w:num w:numId="23">
    <w:abstractNumId w:val="32"/>
  </w:num>
  <w:num w:numId="24">
    <w:abstractNumId w:val="0"/>
  </w:num>
  <w:num w:numId="25">
    <w:abstractNumId w:val="5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6"/>
  </w:num>
  <w:num w:numId="29">
    <w:abstractNumId w:val="9"/>
  </w:num>
  <w:num w:numId="30">
    <w:abstractNumId w:val="30"/>
  </w:num>
  <w:num w:numId="31">
    <w:abstractNumId w:val="24"/>
  </w:num>
  <w:num w:numId="32">
    <w:abstractNumId w:val="28"/>
  </w:num>
  <w:num w:numId="33">
    <w:abstractNumId w:val="15"/>
  </w:num>
  <w:num w:numId="34">
    <w:abstractNumId w:val="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e1NDexNDewNDVV0lEKTi0uzszPAykwqgUATb/RXywAAAA="/>
  </w:docVars>
  <w:rsids>
    <w:rsidRoot w:val="005A1B30"/>
    <w:rsid w:val="00003CB0"/>
    <w:rsid w:val="000057D0"/>
    <w:rsid w:val="00005FD9"/>
    <w:rsid w:val="00006E59"/>
    <w:rsid w:val="0001030A"/>
    <w:rsid w:val="00010BE6"/>
    <w:rsid w:val="00015554"/>
    <w:rsid w:val="00026788"/>
    <w:rsid w:val="00043DD9"/>
    <w:rsid w:val="00044D68"/>
    <w:rsid w:val="00047D9D"/>
    <w:rsid w:val="00052A45"/>
    <w:rsid w:val="00053146"/>
    <w:rsid w:val="000541FB"/>
    <w:rsid w:val="00057020"/>
    <w:rsid w:val="00060088"/>
    <w:rsid w:val="0006403E"/>
    <w:rsid w:val="000660FF"/>
    <w:rsid w:val="00070663"/>
    <w:rsid w:val="00071880"/>
    <w:rsid w:val="00075BD6"/>
    <w:rsid w:val="000774BA"/>
    <w:rsid w:val="00084E5B"/>
    <w:rsid w:val="00087231"/>
    <w:rsid w:val="0008738C"/>
    <w:rsid w:val="0009038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3DA0"/>
    <w:rsid w:val="00124C3D"/>
    <w:rsid w:val="001266C7"/>
    <w:rsid w:val="001309CA"/>
    <w:rsid w:val="0013634D"/>
    <w:rsid w:val="00141A92"/>
    <w:rsid w:val="001422D7"/>
    <w:rsid w:val="001441D4"/>
    <w:rsid w:val="00145E84"/>
    <w:rsid w:val="001502A2"/>
    <w:rsid w:val="0015102C"/>
    <w:rsid w:val="00152EB8"/>
    <w:rsid w:val="00153381"/>
    <w:rsid w:val="001609B2"/>
    <w:rsid w:val="00161504"/>
    <w:rsid w:val="00164DA7"/>
    <w:rsid w:val="00173722"/>
    <w:rsid w:val="00176FBB"/>
    <w:rsid w:val="00181E97"/>
    <w:rsid w:val="00182A08"/>
    <w:rsid w:val="00186BB1"/>
    <w:rsid w:val="00194759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16FC"/>
    <w:rsid w:val="001F24A0"/>
    <w:rsid w:val="001F67EC"/>
    <w:rsid w:val="002032CB"/>
    <w:rsid w:val="0020330A"/>
    <w:rsid w:val="00213300"/>
    <w:rsid w:val="002239BC"/>
    <w:rsid w:val="00223B15"/>
    <w:rsid w:val="00223C10"/>
    <w:rsid w:val="00237256"/>
    <w:rsid w:val="00237279"/>
    <w:rsid w:val="00240293"/>
    <w:rsid w:val="00240D69"/>
    <w:rsid w:val="00241B5E"/>
    <w:rsid w:val="00241D98"/>
    <w:rsid w:val="002500C2"/>
    <w:rsid w:val="00252087"/>
    <w:rsid w:val="00257752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5409"/>
    <w:rsid w:val="002E6AB2"/>
    <w:rsid w:val="002F29A3"/>
    <w:rsid w:val="002F4E12"/>
    <w:rsid w:val="0030196F"/>
    <w:rsid w:val="00302775"/>
    <w:rsid w:val="00304384"/>
    <w:rsid w:val="00304D04"/>
    <w:rsid w:val="00307C48"/>
    <w:rsid w:val="00310D8E"/>
    <w:rsid w:val="003221F2"/>
    <w:rsid w:val="00322614"/>
    <w:rsid w:val="00333F49"/>
    <w:rsid w:val="00334A24"/>
    <w:rsid w:val="00340E54"/>
    <w:rsid w:val="003410FE"/>
    <w:rsid w:val="003507B9"/>
    <w:rsid w:val="003508E7"/>
    <w:rsid w:val="0035104B"/>
    <w:rsid w:val="00353973"/>
    <w:rsid w:val="003542F1"/>
    <w:rsid w:val="003562C5"/>
    <w:rsid w:val="00356A3E"/>
    <w:rsid w:val="00362553"/>
    <w:rsid w:val="00363E6C"/>
    <w:rsid w:val="003642B8"/>
    <w:rsid w:val="00386947"/>
    <w:rsid w:val="00387CEE"/>
    <w:rsid w:val="00392919"/>
    <w:rsid w:val="00393021"/>
    <w:rsid w:val="003A10E5"/>
    <w:rsid w:val="003A4115"/>
    <w:rsid w:val="003A5CE5"/>
    <w:rsid w:val="003A5E73"/>
    <w:rsid w:val="003B5B7A"/>
    <w:rsid w:val="003B6619"/>
    <w:rsid w:val="003B78B4"/>
    <w:rsid w:val="003C179A"/>
    <w:rsid w:val="003C7325"/>
    <w:rsid w:val="003D28A1"/>
    <w:rsid w:val="003D2C7D"/>
    <w:rsid w:val="003D6158"/>
    <w:rsid w:val="003D7DD0"/>
    <w:rsid w:val="003E3144"/>
    <w:rsid w:val="003E39C4"/>
    <w:rsid w:val="003E61E1"/>
    <w:rsid w:val="003E76DF"/>
    <w:rsid w:val="003F0DED"/>
    <w:rsid w:val="003F1EF3"/>
    <w:rsid w:val="003F533C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60E00"/>
    <w:rsid w:val="00464569"/>
    <w:rsid w:val="004726B0"/>
    <w:rsid w:val="004729D1"/>
    <w:rsid w:val="0047418B"/>
    <w:rsid w:val="00474FED"/>
    <w:rsid w:val="00480B1D"/>
    <w:rsid w:val="004845CD"/>
    <w:rsid w:val="004863C8"/>
    <w:rsid w:val="0048769D"/>
    <w:rsid w:val="00490457"/>
    <w:rsid w:val="00494E0F"/>
    <w:rsid w:val="004B0910"/>
    <w:rsid w:val="004B5FCD"/>
    <w:rsid w:val="004C1D48"/>
    <w:rsid w:val="004C3CDF"/>
    <w:rsid w:val="004C4B48"/>
    <w:rsid w:val="004D1EB6"/>
    <w:rsid w:val="004D65CA"/>
    <w:rsid w:val="004F6E89"/>
    <w:rsid w:val="00504B06"/>
    <w:rsid w:val="00505FA8"/>
    <w:rsid w:val="005076A1"/>
    <w:rsid w:val="00513213"/>
    <w:rsid w:val="00516F67"/>
    <w:rsid w:val="00517F12"/>
    <w:rsid w:val="0052102C"/>
    <w:rsid w:val="005212C8"/>
    <w:rsid w:val="00524E6C"/>
    <w:rsid w:val="005332D6"/>
    <w:rsid w:val="00544315"/>
    <w:rsid w:val="00544DFE"/>
    <w:rsid w:val="005464B4"/>
    <w:rsid w:val="005548F2"/>
    <w:rsid w:val="005569C0"/>
    <w:rsid w:val="00556EC6"/>
    <w:rsid w:val="00557690"/>
    <w:rsid w:val="00561298"/>
    <w:rsid w:val="005734CE"/>
    <w:rsid w:val="00581533"/>
    <w:rsid w:val="005840AB"/>
    <w:rsid w:val="00586664"/>
    <w:rsid w:val="00592F5B"/>
    <w:rsid w:val="00593290"/>
    <w:rsid w:val="005A0E33"/>
    <w:rsid w:val="005A12F7"/>
    <w:rsid w:val="005A1B30"/>
    <w:rsid w:val="005A6404"/>
    <w:rsid w:val="005B0B7B"/>
    <w:rsid w:val="005B1A32"/>
    <w:rsid w:val="005B292A"/>
    <w:rsid w:val="005B2B75"/>
    <w:rsid w:val="005C0437"/>
    <w:rsid w:val="005C0469"/>
    <w:rsid w:val="005C6116"/>
    <w:rsid w:val="005C77BB"/>
    <w:rsid w:val="005D17CF"/>
    <w:rsid w:val="005D24AF"/>
    <w:rsid w:val="005D47D4"/>
    <w:rsid w:val="005D5AAB"/>
    <w:rsid w:val="005D6E12"/>
    <w:rsid w:val="005E0ED8"/>
    <w:rsid w:val="005E6ABD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36783"/>
    <w:rsid w:val="00652D7E"/>
    <w:rsid w:val="0065507B"/>
    <w:rsid w:val="00655F59"/>
    <w:rsid w:val="006613D6"/>
    <w:rsid w:val="00661A62"/>
    <w:rsid w:val="00667148"/>
    <w:rsid w:val="00670483"/>
    <w:rsid w:val="006731D9"/>
    <w:rsid w:val="006822BC"/>
    <w:rsid w:val="00685378"/>
    <w:rsid w:val="00685999"/>
    <w:rsid w:val="006938FC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22AF"/>
    <w:rsid w:val="006E4ACF"/>
    <w:rsid w:val="006E6205"/>
    <w:rsid w:val="006E7BE3"/>
    <w:rsid w:val="00701800"/>
    <w:rsid w:val="00706101"/>
    <w:rsid w:val="00713D2E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5FAA"/>
    <w:rsid w:val="00776802"/>
    <w:rsid w:val="00784598"/>
    <w:rsid w:val="007924CE"/>
    <w:rsid w:val="00795AFA"/>
    <w:rsid w:val="007968FF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1DE6"/>
    <w:rsid w:val="007E341A"/>
    <w:rsid w:val="007E3FFB"/>
    <w:rsid w:val="007E49EC"/>
    <w:rsid w:val="007F126F"/>
    <w:rsid w:val="007F4F18"/>
    <w:rsid w:val="007F6E23"/>
    <w:rsid w:val="008001CF"/>
    <w:rsid w:val="008002E7"/>
    <w:rsid w:val="00803FBE"/>
    <w:rsid w:val="00805178"/>
    <w:rsid w:val="00806134"/>
    <w:rsid w:val="008131EF"/>
    <w:rsid w:val="00815F79"/>
    <w:rsid w:val="00820191"/>
    <w:rsid w:val="00825E6F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3E79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0762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4004F"/>
    <w:rsid w:val="009505A7"/>
    <w:rsid w:val="0095183B"/>
    <w:rsid w:val="00952126"/>
    <w:rsid w:val="00952617"/>
    <w:rsid w:val="009534E1"/>
    <w:rsid w:val="00956043"/>
    <w:rsid w:val="009663A6"/>
    <w:rsid w:val="00971A40"/>
    <w:rsid w:val="00976434"/>
    <w:rsid w:val="00976674"/>
    <w:rsid w:val="00982A6F"/>
    <w:rsid w:val="00983474"/>
    <w:rsid w:val="00992EA3"/>
    <w:rsid w:val="009967CA"/>
    <w:rsid w:val="009A17FF"/>
    <w:rsid w:val="009A25F4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14A1D"/>
    <w:rsid w:val="00A22C1C"/>
    <w:rsid w:val="00A30847"/>
    <w:rsid w:val="00A35239"/>
    <w:rsid w:val="00A36AE2"/>
    <w:rsid w:val="00A43E49"/>
    <w:rsid w:val="00A44EA2"/>
    <w:rsid w:val="00A4768D"/>
    <w:rsid w:val="00A5291A"/>
    <w:rsid w:val="00A5405C"/>
    <w:rsid w:val="00A553AF"/>
    <w:rsid w:val="00A55958"/>
    <w:rsid w:val="00A566D4"/>
    <w:rsid w:val="00A56D63"/>
    <w:rsid w:val="00A6574B"/>
    <w:rsid w:val="00A67685"/>
    <w:rsid w:val="00A71943"/>
    <w:rsid w:val="00A728AE"/>
    <w:rsid w:val="00A804AE"/>
    <w:rsid w:val="00A83DA2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D5C4B"/>
    <w:rsid w:val="00AE1643"/>
    <w:rsid w:val="00AE3A6C"/>
    <w:rsid w:val="00AF09B8"/>
    <w:rsid w:val="00AF567D"/>
    <w:rsid w:val="00B02EF0"/>
    <w:rsid w:val="00B05B92"/>
    <w:rsid w:val="00B122F3"/>
    <w:rsid w:val="00B17709"/>
    <w:rsid w:val="00B20854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50560"/>
    <w:rsid w:val="00B54DA5"/>
    <w:rsid w:val="00B5532F"/>
    <w:rsid w:val="00B623CB"/>
    <w:rsid w:val="00B62D7F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D6D61"/>
    <w:rsid w:val="00BE0A80"/>
    <w:rsid w:val="00BE47CD"/>
    <w:rsid w:val="00BE5BF9"/>
    <w:rsid w:val="00BE7A75"/>
    <w:rsid w:val="00BF2B39"/>
    <w:rsid w:val="00BF3A1E"/>
    <w:rsid w:val="00BF7E1E"/>
    <w:rsid w:val="00C04E25"/>
    <w:rsid w:val="00C1106C"/>
    <w:rsid w:val="00C1502E"/>
    <w:rsid w:val="00C170BF"/>
    <w:rsid w:val="00C26361"/>
    <w:rsid w:val="00C2689E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4348"/>
    <w:rsid w:val="00C57985"/>
    <w:rsid w:val="00C6751B"/>
    <w:rsid w:val="00C67D95"/>
    <w:rsid w:val="00C67EAC"/>
    <w:rsid w:val="00C709B5"/>
    <w:rsid w:val="00C81FD3"/>
    <w:rsid w:val="00C96491"/>
    <w:rsid w:val="00CA516B"/>
    <w:rsid w:val="00CB3BEA"/>
    <w:rsid w:val="00CB535D"/>
    <w:rsid w:val="00CC7E21"/>
    <w:rsid w:val="00CD0462"/>
    <w:rsid w:val="00CD0C58"/>
    <w:rsid w:val="00CD313F"/>
    <w:rsid w:val="00CE2F61"/>
    <w:rsid w:val="00CE600C"/>
    <w:rsid w:val="00CE74F9"/>
    <w:rsid w:val="00CE7777"/>
    <w:rsid w:val="00CF01FB"/>
    <w:rsid w:val="00CF2E64"/>
    <w:rsid w:val="00D02F6D"/>
    <w:rsid w:val="00D0325F"/>
    <w:rsid w:val="00D20E1A"/>
    <w:rsid w:val="00D22C21"/>
    <w:rsid w:val="00D25CFE"/>
    <w:rsid w:val="00D34218"/>
    <w:rsid w:val="00D41089"/>
    <w:rsid w:val="00D4607F"/>
    <w:rsid w:val="00D57025"/>
    <w:rsid w:val="00D57765"/>
    <w:rsid w:val="00D60053"/>
    <w:rsid w:val="00D60F80"/>
    <w:rsid w:val="00D6141C"/>
    <w:rsid w:val="00D61EE7"/>
    <w:rsid w:val="00D63865"/>
    <w:rsid w:val="00D7287D"/>
    <w:rsid w:val="00D74FA5"/>
    <w:rsid w:val="00D763BD"/>
    <w:rsid w:val="00D77ACF"/>
    <w:rsid w:val="00D77F50"/>
    <w:rsid w:val="00D84292"/>
    <w:rsid w:val="00D859F4"/>
    <w:rsid w:val="00D85A52"/>
    <w:rsid w:val="00D86FEC"/>
    <w:rsid w:val="00D9135A"/>
    <w:rsid w:val="00D9385E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2464"/>
    <w:rsid w:val="00DC39A9"/>
    <w:rsid w:val="00DC4C79"/>
    <w:rsid w:val="00DC7836"/>
    <w:rsid w:val="00DD25C3"/>
    <w:rsid w:val="00DD3F18"/>
    <w:rsid w:val="00DD5A37"/>
    <w:rsid w:val="00DE6249"/>
    <w:rsid w:val="00DE731D"/>
    <w:rsid w:val="00DF351C"/>
    <w:rsid w:val="00DF371B"/>
    <w:rsid w:val="00DF781A"/>
    <w:rsid w:val="00E0076D"/>
    <w:rsid w:val="00E11B44"/>
    <w:rsid w:val="00E15DEB"/>
    <w:rsid w:val="00E1688D"/>
    <w:rsid w:val="00E203EB"/>
    <w:rsid w:val="00E20638"/>
    <w:rsid w:val="00E35401"/>
    <w:rsid w:val="00E375DB"/>
    <w:rsid w:val="00E4273F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4B2"/>
    <w:rsid w:val="00E83FA4"/>
    <w:rsid w:val="00E86020"/>
    <w:rsid w:val="00E86FE4"/>
    <w:rsid w:val="00E9235B"/>
    <w:rsid w:val="00EA0B4F"/>
    <w:rsid w:val="00EA4DB3"/>
    <w:rsid w:val="00EB00AB"/>
    <w:rsid w:val="00EB1AE0"/>
    <w:rsid w:val="00EB262C"/>
    <w:rsid w:val="00EC2AFC"/>
    <w:rsid w:val="00ED056A"/>
    <w:rsid w:val="00ED7DF5"/>
    <w:rsid w:val="00EF4F53"/>
    <w:rsid w:val="00EF5D29"/>
    <w:rsid w:val="00F1133F"/>
    <w:rsid w:val="00F138F7"/>
    <w:rsid w:val="00F17BB9"/>
    <w:rsid w:val="00F2008A"/>
    <w:rsid w:val="00F21D9E"/>
    <w:rsid w:val="00F25348"/>
    <w:rsid w:val="00F45506"/>
    <w:rsid w:val="00F60062"/>
    <w:rsid w:val="00F613CC"/>
    <w:rsid w:val="00F62FC9"/>
    <w:rsid w:val="00F72BCC"/>
    <w:rsid w:val="00F7340C"/>
    <w:rsid w:val="00F74F0B"/>
    <w:rsid w:val="00F7535A"/>
    <w:rsid w:val="00F76777"/>
    <w:rsid w:val="00F8046A"/>
    <w:rsid w:val="00F83F2F"/>
    <w:rsid w:val="00F84EE5"/>
    <w:rsid w:val="00F86555"/>
    <w:rsid w:val="00F86848"/>
    <w:rsid w:val="00F86C58"/>
    <w:rsid w:val="00F943DE"/>
    <w:rsid w:val="00F97F0A"/>
    <w:rsid w:val="00FA0CD2"/>
    <w:rsid w:val="00FA0FE5"/>
    <w:rsid w:val="00FA3A30"/>
    <w:rsid w:val="00FB0415"/>
    <w:rsid w:val="00FB6309"/>
    <w:rsid w:val="00FC30C7"/>
    <w:rsid w:val="00FC3B03"/>
    <w:rsid w:val="00FD7598"/>
    <w:rsid w:val="00FF03A2"/>
    <w:rsid w:val="00FF22C4"/>
    <w:rsid w:val="00FF2398"/>
    <w:rsid w:val="00FF3913"/>
    <w:rsid w:val="00FF6C85"/>
    <w:rsid w:val="053A7240"/>
    <w:rsid w:val="1446F8E5"/>
    <w:rsid w:val="23FB47DA"/>
    <w:rsid w:val="270A63D4"/>
    <w:rsid w:val="281A9DFE"/>
    <w:rsid w:val="414545F7"/>
    <w:rsid w:val="43D4BB59"/>
    <w:rsid w:val="4CA5E658"/>
    <w:rsid w:val="4D2609E5"/>
    <w:rsid w:val="4DBF659E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A559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958"/>
    <w:rPr>
      <w:color w:val="605E5C"/>
      <w:shd w:val="clear" w:color="auto" w:fill="E1DFDD"/>
    </w:rPr>
  </w:style>
  <w:style w:type="character" w:customStyle="1" w:styleId="contextualspellingandgrammarerror">
    <w:name w:val="contextualspellingandgrammarerror"/>
    <w:basedOn w:val="Domylnaczcionkaakapitu"/>
    <w:rsid w:val="00257752"/>
  </w:style>
  <w:style w:type="character" w:customStyle="1" w:styleId="spellingerror">
    <w:name w:val="spellingerror"/>
    <w:basedOn w:val="Domylnaczcionkaakapitu"/>
    <w:rsid w:val="0025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C472DF7-0335-485C-8C21-C9CDB0A00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schemas.microsoft.com/office/infopath/2007/PartnerControls"/>
    <ds:schemaRef ds:uri="http://purl.org/dc/elements/1.1/"/>
    <ds:schemaRef ds:uri="505c0017-f874-43ac-950d-323adc31ce1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9347f2ac-18f4-432a-8e33-20563812eb8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2331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2021-10-08T08:40:00Z</dcterms:created>
  <dcterms:modified xsi:type="dcterms:W3CDTF">2022-01-11T12:08:00Z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